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lang w:val="en-US" w:eastAsia="zh-CN"/>
        </w:rPr>
        <w:t>津市市应急管理局2021年度</w:t>
      </w:r>
      <w:r>
        <w:rPr>
          <w:rFonts w:eastAsia="方正小标宋_GBK"/>
          <w:sz w:val="36"/>
          <w:szCs w:val="36"/>
        </w:rPr>
        <w:t>部门整体支出</w:t>
      </w:r>
    </w:p>
    <w:p>
      <w:pPr>
        <w:spacing w:line="600" w:lineRule="exact"/>
        <w:jc w:val="center"/>
        <w:rPr>
          <w:rFonts w:eastAsia="方正小标宋_GBK"/>
          <w:sz w:val="32"/>
          <w:szCs w:val="32"/>
        </w:rPr>
      </w:pPr>
      <w:r>
        <w:rPr>
          <w:rFonts w:eastAsia="方正小标宋_GBK"/>
          <w:sz w:val="36"/>
          <w:szCs w:val="36"/>
        </w:rPr>
        <w:t>绩效报告</w:t>
      </w:r>
    </w:p>
    <w:p>
      <w:pPr>
        <w:spacing w:line="600" w:lineRule="exact"/>
        <w:jc w:val="center"/>
        <w:rPr>
          <w:rFonts w:eastAsia="方正小标宋_GBK"/>
          <w:sz w:val="32"/>
          <w:szCs w:val="32"/>
        </w:rPr>
      </w:pPr>
    </w:p>
    <w:p>
      <w:pPr>
        <w:pStyle w:val="7"/>
        <w:widowControl/>
        <w:numPr>
          <w:ilvl w:val="0"/>
          <w:numId w:val="1"/>
        </w:numPr>
        <w:spacing w:line="600" w:lineRule="exact"/>
        <w:ind w:left="630" w:leftChars="0" w:firstLine="0" w:firstLineChars="0"/>
        <w:rPr>
          <w:rFonts w:ascii="Times New Roman" w:hAnsi="Times New Roman" w:eastAsia="黑体"/>
          <w:sz w:val="32"/>
          <w:szCs w:val="32"/>
        </w:rPr>
      </w:pPr>
      <w:r>
        <w:rPr>
          <w:rFonts w:ascii="Times New Roman" w:hAnsi="Times New Roman" w:eastAsia="黑体"/>
          <w:sz w:val="32"/>
          <w:szCs w:val="32"/>
        </w:rPr>
        <w:t>部门、单位基本情况</w:t>
      </w:r>
    </w:p>
    <w:p>
      <w:pPr>
        <w:pStyle w:val="7"/>
        <w:widowControl/>
        <w:numPr>
          <w:numId w:val="0"/>
        </w:numPr>
        <w:spacing w:line="600" w:lineRule="exact"/>
        <w:ind w:firstLine="640" w:firstLineChars="200"/>
        <w:rPr>
          <w:rFonts w:ascii="Times New Roman" w:hAnsi="Times New Roman" w:eastAsia="黑体"/>
          <w:sz w:val="32"/>
          <w:szCs w:val="32"/>
        </w:rPr>
      </w:pPr>
      <w:r>
        <w:rPr>
          <w:rFonts w:hint="eastAsia" w:ascii="仿宋" w:hAnsi="仿宋" w:eastAsia="仿宋" w:cs="仿宋"/>
          <w:color w:val="000000"/>
          <w:sz w:val="32"/>
          <w:szCs w:val="32"/>
        </w:rPr>
        <w:t>津市市应急管理局（简称市应急局）是市政府工作部门，为正科级，加挂市防汛抗旱指挥部办公室（简称市防汛抗旱办）牌子。市应急管理局贯彻落实党中央、省委、常德市委关于应急工作的方针政策和决策部署，全面落实市委关于应急工作的部署要求，在履行职责过程中坚持和加强党对应急工作的集中统一领导。</w:t>
      </w:r>
    </w:p>
    <w:p>
      <w:pPr>
        <w:pStyle w:val="7"/>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7"/>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widowControl/>
        <w:spacing w:line="600" w:lineRule="exact"/>
        <w:ind w:firstLine="660"/>
        <w:jc w:val="left"/>
        <w:rPr>
          <w:rFonts w:eastAsia="黑体"/>
          <w:color w:val="000000"/>
          <w:sz w:val="32"/>
          <w:szCs w:val="32"/>
        </w:rPr>
      </w:pPr>
      <w:r>
        <w:rPr>
          <w:rFonts w:eastAsia="仿宋_GB2312"/>
          <w:color w:val="000000"/>
          <w:sz w:val="32"/>
          <w:szCs w:val="32"/>
        </w:rPr>
        <w:t>2021年本部门基本支出预算数</w:t>
      </w:r>
      <w:r>
        <w:rPr>
          <w:rFonts w:hint="eastAsia" w:eastAsia="仿宋_GB2312"/>
          <w:color w:val="000000"/>
          <w:sz w:val="32"/>
          <w:szCs w:val="32"/>
          <w:lang w:val="en-US" w:eastAsia="zh-CN"/>
        </w:rPr>
        <w:t>483.94</w:t>
      </w:r>
      <w:r>
        <w:rPr>
          <w:rFonts w:eastAsia="仿宋_GB2312"/>
          <w:color w:val="000000"/>
          <w:sz w:val="32"/>
          <w:szCs w:val="32"/>
        </w:rPr>
        <w:t>万元，主要是为保障部门正常运转、完成日常工作任务而发生的各项支出，包括用于基本工资、津贴补贴等人员经费以及办公费、印刷费、水电费</w:t>
      </w:r>
      <w:r>
        <w:rPr>
          <w:rFonts w:hint="eastAsia" w:eastAsia="仿宋_GB2312"/>
          <w:color w:val="000000"/>
          <w:sz w:val="32"/>
          <w:szCs w:val="32"/>
        </w:rPr>
        <w:t>、差旅</w:t>
      </w:r>
      <w:r>
        <w:rPr>
          <w:rFonts w:eastAsia="仿宋_GB2312"/>
          <w:color w:val="000000"/>
          <w:sz w:val="32"/>
          <w:szCs w:val="32"/>
        </w:rPr>
        <w:t>费等公用经费。</w:t>
      </w:r>
    </w:p>
    <w:p>
      <w:pPr>
        <w:pStyle w:val="7"/>
        <w:widowControl/>
        <w:spacing w:line="600" w:lineRule="exact"/>
        <w:ind w:left="0" w:leftChars="0" w:firstLine="320" w:firstLineChars="10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widowControl/>
        <w:spacing w:line="600" w:lineRule="exact"/>
        <w:ind w:firstLine="660"/>
        <w:jc w:val="left"/>
        <w:rPr>
          <w:rFonts w:hint="eastAsia" w:eastAsia="仿宋_GB2312"/>
          <w:color w:val="000000"/>
          <w:sz w:val="32"/>
          <w:szCs w:val="32"/>
          <w:lang w:eastAsia="zh-CN"/>
        </w:rPr>
      </w:pPr>
      <w:r>
        <w:rPr>
          <w:rFonts w:eastAsia="仿宋_GB2312"/>
          <w:color w:val="000000"/>
          <w:sz w:val="32"/>
          <w:szCs w:val="32"/>
        </w:rPr>
        <w:t>2021年本部门项目支出预算</w:t>
      </w:r>
      <w:r>
        <w:rPr>
          <w:rFonts w:hint="eastAsia" w:eastAsia="仿宋_GB2312"/>
          <w:color w:val="000000"/>
          <w:sz w:val="32"/>
          <w:szCs w:val="32"/>
          <w:lang w:val="en-US" w:eastAsia="zh-CN"/>
        </w:rPr>
        <w:t>1535.4</w:t>
      </w:r>
      <w:r>
        <w:rPr>
          <w:rFonts w:eastAsia="仿宋_GB2312"/>
          <w:color w:val="000000"/>
          <w:sz w:val="32"/>
          <w:szCs w:val="32"/>
        </w:rPr>
        <w:t>万元，主要是部门为完成特定行政工作任务发展目标而发生的支出，包括有关专项业务费、基本建设支出等，其中：</w:t>
      </w:r>
      <w:r>
        <w:rPr>
          <w:rFonts w:hint="eastAsia" w:eastAsia="仿宋_GB2312"/>
          <w:color w:val="000000"/>
          <w:sz w:val="32"/>
          <w:szCs w:val="32"/>
        </w:rPr>
        <w:t>业务</w:t>
      </w:r>
      <w:r>
        <w:rPr>
          <w:rFonts w:eastAsia="仿宋_GB2312"/>
          <w:color w:val="000000"/>
          <w:sz w:val="32"/>
          <w:szCs w:val="32"/>
        </w:rPr>
        <w:t>工作经费支出</w:t>
      </w:r>
      <w:r>
        <w:rPr>
          <w:rFonts w:hint="eastAsia" w:eastAsia="仿宋_GB2312"/>
          <w:color w:val="000000"/>
          <w:sz w:val="32"/>
          <w:szCs w:val="32"/>
          <w:lang w:val="en-US" w:eastAsia="zh-CN"/>
        </w:rPr>
        <w:t>46.4</w:t>
      </w:r>
      <w:r>
        <w:rPr>
          <w:rFonts w:eastAsia="仿宋_GB2312"/>
          <w:color w:val="000000"/>
          <w:sz w:val="32"/>
          <w:szCs w:val="32"/>
        </w:rPr>
        <w:t>万元，主要用于单位</w:t>
      </w:r>
      <w:r>
        <w:rPr>
          <w:rFonts w:hint="eastAsia" w:eastAsia="仿宋_GB2312"/>
          <w:color w:val="000000"/>
          <w:sz w:val="32"/>
          <w:szCs w:val="32"/>
        </w:rPr>
        <w:t>开展</w:t>
      </w:r>
      <w:r>
        <w:rPr>
          <w:rFonts w:eastAsia="仿宋_GB2312"/>
          <w:color w:val="000000"/>
          <w:sz w:val="32"/>
          <w:szCs w:val="32"/>
        </w:rPr>
        <w:t>相关业务</w:t>
      </w:r>
      <w:r>
        <w:rPr>
          <w:rFonts w:hint="eastAsia" w:eastAsia="仿宋_GB2312"/>
          <w:color w:val="000000"/>
          <w:sz w:val="32"/>
          <w:szCs w:val="32"/>
          <w:lang w:eastAsia="zh-CN"/>
        </w:rPr>
        <w:t>安全生产、森林防火、宣传</w:t>
      </w:r>
      <w:r>
        <w:rPr>
          <w:rFonts w:eastAsia="仿宋_GB2312"/>
          <w:color w:val="000000"/>
          <w:sz w:val="32"/>
          <w:szCs w:val="32"/>
        </w:rPr>
        <w:t>工作等方面；</w:t>
      </w:r>
      <w:r>
        <w:rPr>
          <w:rFonts w:hint="eastAsia" w:eastAsia="仿宋_GB2312"/>
          <w:color w:val="000000"/>
          <w:sz w:val="32"/>
          <w:szCs w:val="32"/>
        </w:rPr>
        <w:t>运行维护</w:t>
      </w:r>
      <w:r>
        <w:rPr>
          <w:rFonts w:eastAsia="仿宋_GB2312"/>
          <w:color w:val="000000"/>
          <w:sz w:val="32"/>
          <w:szCs w:val="32"/>
        </w:rPr>
        <w:t>经费支出</w:t>
      </w:r>
      <w:r>
        <w:rPr>
          <w:rFonts w:hint="eastAsia" w:eastAsia="仿宋_GB2312"/>
          <w:color w:val="000000"/>
          <w:sz w:val="32"/>
          <w:szCs w:val="32"/>
          <w:lang w:val="en-US" w:eastAsia="zh-CN"/>
        </w:rPr>
        <w:t xml:space="preserve">1489 </w:t>
      </w:r>
      <w:r>
        <w:rPr>
          <w:rFonts w:eastAsia="仿宋_GB2312"/>
          <w:color w:val="000000"/>
          <w:sz w:val="32"/>
          <w:szCs w:val="32"/>
        </w:rPr>
        <w:t>万元，主要用于单位完成</w:t>
      </w:r>
      <w:r>
        <w:rPr>
          <w:rFonts w:hint="eastAsia" w:eastAsia="仿宋_GB2312"/>
          <w:color w:val="000000"/>
          <w:sz w:val="32"/>
          <w:szCs w:val="32"/>
        </w:rPr>
        <w:t>相关</w:t>
      </w:r>
      <w:r>
        <w:rPr>
          <w:rFonts w:hint="eastAsia" w:eastAsia="仿宋_GB2312"/>
          <w:color w:val="000000"/>
          <w:sz w:val="32"/>
          <w:szCs w:val="32"/>
          <w:lang w:eastAsia="zh-CN"/>
        </w:rPr>
        <w:t>应急设备采购、办公楼整体搬迁</w:t>
      </w:r>
      <w:r>
        <w:rPr>
          <w:rFonts w:eastAsia="仿宋_GB2312"/>
          <w:color w:val="000000"/>
          <w:sz w:val="32"/>
          <w:szCs w:val="32"/>
        </w:rPr>
        <w:t>等方面</w:t>
      </w:r>
      <w:r>
        <w:rPr>
          <w:rFonts w:hint="eastAsia" w:eastAsia="仿宋_GB2312"/>
          <w:color w:val="000000"/>
          <w:sz w:val="32"/>
          <w:szCs w:val="32"/>
          <w:lang w:eastAsia="zh-CN"/>
        </w:rPr>
        <w:t>。</w:t>
      </w:r>
    </w:p>
    <w:p>
      <w:pPr>
        <w:pStyle w:val="7"/>
        <w:widowControl/>
        <w:numPr>
          <w:numId w:val="0"/>
        </w:numPr>
        <w:spacing w:line="600" w:lineRule="exact"/>
        <w:ind w:left="630" w:leftChars="0"/>
        <w:jc w:val="left"/>
        <w:rPr>
          <w:rFonts w:ascii="Times New Roman" w:hAnsi="Times New Roman" w:eastAsia="黑体"/>
          <w:sz w:val="32"/>
          <w:szCs w:val="32"/>
        </w:rPr>
      </w:pPr>
      <w:r>
        <w:rPr>
          <w:rFonts w:hint="eastAsia" w:ascii="Times New Roman" w:hAnsi="Times New Roman" w:eastAsia="黑体"/>
          <w:sz w:val="32"/>
          <w:szCs w:val="32"/>
          <w:lang w:eastAsia="zh-CN"/>
        </w:rPr>
        <w:t>三、</w:t>
      </w:r>
      <w:r>
        <w:rPr>
          <w:rFonts w:ascii="Times New Roman" w:hAnsi="Times New Roman" w:eastAsia="黑体"/>
          <w:sz w:val="32"/>
          <w:szCs w:val="32"/>
        </w:rPr>
        <w:t>政府性基金预算支出情况</w:t>
      </w:r>
    </w:p>
    <w:p>
      <w:pPr>
        <w:widowControl/>
        <w:spacing w:line="600" w:lineRule="exact"/>
        <w:ind w:firstLine="660"/>
        <w:jc w:val="left"/>
        <w:rPr>
          <w:rFonts w:hint="eastAsia" w:eastAsia="仿宋_GB2312"/>
          <w:color w:val="000000"/>
          <w:sz w:val="32"/>
          <w:szCs w:val="32"/>
        </w:rPr>
      </w:pPr>
      <w:r>
        <w:rPr>
          <w:rFonts w:eastAsia="仿宋_GB2312"/>
          <w:color w:val="000000"/>
          <w:sz w:val="32"/>
          <w:szCs w:val="32"/>
        </w:rPr>
        <w:t>2021年本部门无政府性基金安排的支出</w:t>
      </w:r>
      <w:r>
        <w:rPr>
          <w:rFonts w:hint="eastAsia" w:eastAsia="仿宋_GB2312"/>
          <w:color w:val="000000"/>
          <w:sz w:val="32"/>
          <w:szCs w:val="32"/>
        </w:rPr>
        <w:t>。</w:t>
      </w:r>
    </w:p>
    <w:p>
      <w:pPr>
        <w:widowControl/>
        <w:spacing w:line="600" w:lineRule="exact"/>
        <w:ind w:firstLine="627" w:firstLineChars="196"/>
        <w:rPr>
          <w:rFonts w:hint="eastAsia" w:ascii="Times New Roman" w:hAnsi="Times New Roman" w:eastAsia="仿宋_GB2312" w:cs="Times New Roman"/>
          <w:b/>
          <w:color w:val="000000"/>
          <w:sz w:val="32"/>
          <w:szCs w:val="32"/>
          <w:lang w:eastAsia="zh-CN"/>
        </w:rPr>
      </w:pPr>
      <w:r>
        <w:rPr>
          <w:rFonts w:hint="eastAsia" w:eastAsia="黑体"/>
          <w:sz w:val="32"/>
          <w:szCs w:val="32"/>
          <w:lang w:eastAsia="zh-CN"/>
        </w:rPr>
        <w:t>四</w:t>
      </w:r>
      <w:r>
        <w:rPr>
          <w:rFonts w:eastAsia="黑体"/>
          <w:sz w:val="32"/>
          <w:szCs w:val="32"/>
        </w:rPr>
        <w:t>、部门整体支出绩效情况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2021年本部门收入预算2019.34万元，其中，一般公共预算拨款2019.34万元，事业收入0万元，事业单位经营收入0万元，其他收入0万元。收入较去年增加1041.7万元，主要是一般公共预算拨款增加1041.7万元。2021年本部门支出预算2019.34万元，其中，社会保障和就业30.36万元，卫生健康10.57万元，灾害防治及应急管理支出1957.29万元，住房保障21.12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市应急管理局围绕市委、市政府工作目标，积极依法履职，不断强化安全监管，深入推进应急管理体系和防灾减灾体系建设，各项工作稳中有进。具体情况如下：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firstLine="640" w:firstLineChars="200"/>
        <w:jc w:val="both"/>
        <w:textAlignment w:val="auto"/>
        <w:rPr>
          <w:color w:val="000000" w:themeColor="text1"/>
          <w:sz w:val="21"/>
          <w:szCs w:val="21"/>
          <w14:textFill>
            <w14:solidFill>
              <w14:schemeClr w14:val="tx1"/>
            </w14:solidFill>
          </w14:textFill>
        </w:rPr>
      </w:pPr>
      <w:r>
        <w:rPr>
          <w:rFonts w:hint="eastAsia" w:ascii="华文新魏" w:hAnsi="华文新魏" w:eastAsia="华文新魏" w:cs="华文新魏"/>
          <w:color w:val="000000" w:themeColor="text1"/>
          <w:kern w:val="2"/>
          <w:sz w:val="32"/>
          <w:szCs w:val="32"/>
          <w:lang w:val="en-US" w:eastAsia="zh-CN" w:bidi="ar-SA"/>
          <w14:textFill>
            <w14:solidFill>
              <w14:schemeClr w14:val="tx1"/>
            </w14:solidFill>
          </w14:textFill>
        </w:rPr>
        <w:t>1.夯实安全责任。</w:t>
      </w:r>
      <w:r>
        <w:rPr>
          <w:rFonts w:hint="eastAsia" w:ascii="仿宋" w:hAnsi="仿宋" w:eastAsia="仿宋" w:cs="仿宋"/>
          <w:b/>
          <w:bCs/>
          <w:color w:val="000000" w:themeColor="text1"/>
          <w:sz w:val="32"/>
          <w:szCs w:val="32"/>
          <w:lang w:eastAsia="zh-CN"/>
          <w14:textFill>
            <w14:solidFill>
              <w14:schemeClr w14:val="tx1"/>
            </w14:solidFill>
          </w14:textFill>
        </w:rPr>
        <w:t>一是明晰责任，</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编印“两卡三清单”，</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明晰</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党政领导</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、部门单位、企业主体安全生产任务和责任</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w:t>
      </w:r>
      <w:r>
        <w:rPr>
          <w:rFonts w:hint="eastAsia" w:ascii="仿宋" w:hAnsi="仿宋" w:eastAsia="仿宋" w:cs="仿宋"/>
          <w:b/>
          <w:bCs/>
          <w:color w:val="000000" w:themeColor="text1"/>
          <w:sz w:val="32"/>
          <w:szCs w:val="32"/>
          <w:lang w:val="en-US" w:eastAsia="zh-CN"/>
          <w14:textFill>
            <w14:solidFill>
              <w14:schemeClr w14:val="tx1"/>
            </w14:solidFill>
          </w14:textFill>
        </w:rPr>
        <w:t>二是健全制度，</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市安委建立</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清单交办、日常考评、联点包保、曝光隐患等工作机制，确保安全生产责任落实落地。</w:t>
      </w:r>
      <w:r>
        <w:rPr>
          <w:rFonts w:hint="eastAsia" w:ascii="仿宋" w:hAnsi="仿宋" w:eastAsia="仿宋" w:cs="仿宋"/>
          <w:b/>
          <w:bCs/>
          <w:color w:val="000000" w:themeColor="text1"/>
          <w:sz w:val="32"/>
          <w:szCs w:val="32"/>
          <w:lang w:val="en-US" w:eastAsia="zh-CN"/>
          <w14:textFill>
            <w14:solidFill>
              <w14:schemeClr w14:val="tx1"/>
            </w14:solidFill>
          </w14:textFill>
        </w:rPr>
        <w:t>三是强化领导调度，</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今年来，市委常委和政府常务会议专题听取安全生产工作汇报9次，市安委召开3次安委全会，</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专题研讨和解决交通顽瘴痼疾、</w:t>
      </w:r>
      <w:r>
        <w:rPr>
          <w:rFonts w:hint="default" w:ascii="Times New Roman" w:hAnsi="Times New Roman" w:eastAsia="仿宋_GB2312" w:cs="Times New Roman"/>
          <w:b w:val="0"/>
          <w:bCs/>
          <w:color w:val="000000" w:themeColor="text1"/>
          <w:sz w:val="32"/>
          <w:szCs w:val="32"/>
          <w:lang w:val="en-US" w:eastAsia="zh-CN"/>
          <w14:textFill>
            <w14:solidFill>
              <w14:schemeClr w14:val="tx1"/>
            </w14:solidFill>
          </w14:textFill>
        </w:rPr>
        <w:t>百年党庆安全防范</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等安全生产工作。</w:t>
      </w:r>
    </w:p>
    <w:p>
      <w:pPr>
        <w:keepNext w:val="0"/>
        <w:keepLines w:val="0"/>
        <w:pageBreakBefore w:val="0"/>
        <w:numPr>
          <w:ilvl w:val="0"/>
          <w:numId w:val="0"/>
        </w:numPr>
        <w:kinsoku/>
        <w:wordWrap/>
        <w:overflowPunct/>
        <w:topLinePunct w:val="0"/>
        <w:autoSpaceDE/>
        <w:autoSpaceDN/>
        <w:bidi w:val="0"/>
        <w:adjustRightInd/>
        <w:snapToGrid/>
        <w:spacing w:line="560" w:lineRule="exact"/>
        <w:ind w:right="0" w:firstLine="640" w:firstLineChars="200"/>
        <w:jc w:val="both"/>
        <w:textAlignment w:val="auto"/>
        <w:rPr>
          <w:rFonts w:hint="default" w:ascii="Times New Roman" w:hAnsi="Times New Roman" w:eastAsia="仿宋_GB2312" w:cs="Times New Roman"/>
          <w:b w:val="0"/>
          <w:bCs/>
          <w:color w:val="000000" w:themeColor="text1"/>
          <w:sz w:val="32"/>
          <w:szCs w:val="32"/>
          <w:lang w:val="en-US" w:eastAsia="zh-CN"/>
          <w14:textFill>
            <w14:solidFill>
              <w14:schemeClr w14:val="tx1"/>
            </w14:solidFill>
          </w14:textFill>
        </w:rPr>
      </w:pPr>
      <w:r>
        <w:rPr>
          <w:rFonts w:hint="eastAsia" w:ascii="华文新魏" w:hAnsi="华文新魏" w:eastAsia="华文新魏" w:cs="华文新魏"/>
          <w:color w:val="000000" w:themeColor="text1"/>
          <w:kern w:val="2"/>
          <w:sz w:val="32"/>
          <w:szCs w:val="32"/>
          <w:lang w:val="en-US" w:eastAsia="zh-CN" w:bidi="ar-SA"/>
          <w14:textFill>
            <w14:solidFill>
              <w14:schemeClr w14:val="tx1"/>
            </w14:solidFill>
          </w14:textFill>
        </w:rPr>
        <w:t>2.强化安全治理。</w:t>
      </w:r>
      <w:r>
        <w:rPr>
          <w:rFonts w:hint="eastAsia" w:ascii="Times New Roman" w:hAnsi="Times New Roman" w:eastAsia="仿宋_GB2312" w:cs="Times New Roman"/>
          <w:b/>
          <w:bCs w:val="0"/>
          <w:color w:val="000000" w:themeColor="text1"/>
          <w:sz w:val="32"/>
          <w:szCs w:val="32"/>
          <w:lang w:val="en-US" w:eastAsia="zh-CN"/>
          <w14:textFill>
            <w14:solidFill>
              <w14:schemeClr w14:val="tx1"/>
            </w14:solidFill>
          </w14:textFill>
        </w:rPr>
        <w:t>突出隐患排查，</w:t>
      </w:r>
      <w:r>
        <w:rPr>
          <w:rFonts w:hint="eastAsia" w:ascii="Times New Roman" w:hAnsi="Times New Roman" w:eastAsia="仿宋_GB2312" w:cs="Times New Roman"/>
          <w:b w:val="0"/>
          <w:bCs/>
          <w:color w:val="000000" w:themeColor="text1"/>
          <w:sz w:val="32"/>
          <w:szCs w:val="32"/>
          <w:lang w:val="en-US" w:eastAsia="zh-CN"/>
          <w14:textFill>
            <w14:solidFill>
              <w14:schemeClr w14:val="tx1"/>
            </w14:solidFill>
          </w14:textFill>
        </w:rPr>
        <w:t>编印</w:t>
      </w:r>
      <w:r>
        <w:rPr>
          <w:rFonts w:hint="default" w:ascii="Times New Roman" w:hAnsi="Times New Roman" w:eastAsia="仿宋_GB2312" w:cs="Times New Roman"/>
          <w:b w:val="0"/>
          <w:bCs/>
          <w:color w:val="000000" w:themeColor="text1"/>
          <w:sz w:val="32"/>
          <w:szCs w:val="32"/>
          <w:lang w:val="en-US" w:eastAsia="zh-CN"/>
          <w14:textFill>
            <w14:solidFill>
              <w14:schemeClr w14:val="tx1"/>
            </w14:solidFill>
          </w14:textFill>
        </w:rPr>
        <w:t>《津市市应急系统安全生产风险辨识与监管指南》工具书，</w:t>
      </w:r>
      <w:r>
        <w:rPr>
          <w:rFonts w:hint="eastAsia" w:ascii="Times New Roman" w:hAnsi="Times New Roman" w:eastAsia="仿宋_GB2312" w:cs="Times New Roman"/>
          <w:b w:val="0"/>
          <w:bCs/>
          <w:color w:val="000000" w:themeColor="text1"/>
          <w:sz w:val="32"/>
          <w:szCs w:val="32"/>
          <w:lang w:val="en-US" w:eastAsia="zh-CN"/>
          <w14:textFill>
            <w14:solidFill>
              <w14:schemeClr w14:val="tx1"/>
            </w14:solidFill>
          </w14:textFill>
        </w:rPr>
        <w:t>摸清重点企业风险因素；引入第三方机构完成20家企业的风险隐患排查治理；</w:t>
      </w:r>
      <w:r>
        <w:rPr>
          <w:rFonts w:hint="eastAsia" w:ascii="Times New Roman" w:hAnsi="Times New Roman" w:eastAsia="仿宋_GB2312" w:cs="Times New Roman"/>
          <w:b/>
          <w:bCs w:val="0"/>
          <w:color w:val="000000" w:themeColor="text1"/>
          <w:sz w:val="32"/>
          <w:szCs w:val="32"/>
          <w:lang w:val="en-US" w:eastAsia="zh-CN"/>
          <w14:textFill>
            <w14:solidFill>
              <w14:schemeClr w14:val="tx1"/>
            </w14:solidFill>
          </w14:textFill>
        </w:rPr>
        <w:t>突出隐患治理，</w:t>
      </w:r>
      <w:r>
        <w:rPr>
          <w:rFonts w:hint="eastAsia" w:ascii="Times New Roman" w:hAnsi="Times New Roman" w:eastAsia="仿宋_GB2312" w:cs="Times New Roman"/>
          <w:b w:val="0"/>
          <w:bCs/>
          <w:color w:val="000000" w:themeColor="text1"/>
          <w:sz w:val="32"/>
          <w:szCs w:val="32"/>
          <w:lang w:val="en-US" w:eastAsia="zh-CN"/>
          <w14:textFill>
            <w14:solidFill>
              <w14:schemeClr w14:val="tx1"/>
            </w14:solidFill>
          </w14:textFill>
        </w:rPr>
        <w:t>坚持工作交办、工作督办及隐患曝光等工作方式开展隐患闭环管理。常德市交办的23个重大隐患已整改完毕15个；市安委办挂牌督办和交办26个重大隐患已整改到位17个；市专班建档的28个重大隐患问题已整改完毕21个；市安委办推出隐患曝光台6期，曝光隐患25个，全部整改完毕。</w:t>
      </w:r>
      <w:r>
        <w:rPr>
          <w:rFonts w:hint="eastAsia" w:ascii="Times New Roman" w:hAnsi="Times New Roman" w:eastAsia="仿宋_GB2312" w:cs="Times New Roman"/>
          <w:b/>
          <w:bCs w:val="0"/>
          <w:color w:val="000000" w:themeColor="text1"/>
          <w:sz w:val="32"/>
          <w:szCs w:val="32"/>
          <w:lang w:val="en-US" w:eastAsia="zh-CN"/>
          <w14:textFill>
            <w14:solidFill>
              <w14:schemeClr w14:val="tx1"/>
            </w14:solidFill>
          </w14:textFill>
        </w:rPr>
        <w:t>突出行政执法，</w:t>
      </w:r>
      <w:r>
        <w:rPr>
          <w:rFonts w:hint="eastAsia" w:ascii="Times New Roman" w:hAnsi="Times New Roman" w:eastAsia="仿宋_GB2312" w:cs="Times New Roman"/>
          <w:b w:val="0"/>
          <w:bCs/>
          <w:color w:val="000000" w:themeColor="text1"/>
          <w:sz w:val="32"/>
          <w:szCs w:val="32"/>
          <w:lang w:val="en-US" w:eastAsia="zh-CN"/>
          <w14:textFill>
            <w14:solidFill>
              <w14:schemeClr w14:val="tx1"/>
            </w14:solidFill>
          </w14:textFill>
        </w:rPr>
        <w:t>深入推进“强执法防事故”“打非治违”“专项整治三年行动攻坚”以及岁末年初安全生产百日大会战。</w:t>
      </w:r>
      <w:r>
        <w:rPr>
          <w:rFonts w:hint="eastAsia" w:ascii="仿宋_GB2312" w:hAnsi="仿宋_GB2312" w:eastAsia="仿宋_GB2312" w:cs="仿宋_GB2312"/>
          <w:b w:val="0"/>
          <w:bCs w:val="0"/>
          <w:sz w:val="32"/>
          <w:szCs w:val="32"/>
          <w:lang w:val="en-US" w:eastAsia="zh-CN"/>
        </w:rPr>
        <w:t>截至目前，</w:t>
      </w:r>
      <w:r>
        <w:rPr>
          <w:rFonts w:hint="default" w:ascii="仿宋_GB2312" w:hAnsi="仿宋_GB2312" w:eastAsia="仿宋_GB2312" w:cs="仿宋_GB2312"/>
          <w:b w:val="0"/>
          <w:bCs w:val="0"/>
          <w:sz w:val="32"/>
          <w:szCs w:val="32"/>
          <w:lang w:val="en-US" w:eastAsia="zh-CN"/>
        </w:rPr>
        <w:t>通过安全生产行政执法系统立案</w:t>
      </w:r>
      <w:r>
        <w:rPr>
          <w:rFonts w:hint="eastAsia" w:ascii="仿宋_GB2312" w:hAnsi="仿宋_GB2312" w:eastAsia="仿宋_GB2312" w:cs="仿宋_GB2312"/>
          <w:b w:val="0"/>
          <w:bCs w:val="0"/>
          <w:sz w:val="32"/>
          <w:szCs w:val="32"/>
          <w:lang w:val="en-US" w:eastAsia="zh-CN"/>
        </w:rPr>
        <w:t>31</w:t>
      </w:r>
      <w:r>
        <w:rPr>
          <w:rFonts w:hint="default" w:ascii="仿宋_GB2312" w:hAnsi="仿宋_GB2312" w:eastAsia="仿宋_GB2312" w:cs="仿宋_GB2312"/>
          <w:b w:val="0"/>
          <w:bCs w:val="0"/>
          <w:sz w:val="32"/>
          <w:szCs w:val="32"/>
          <w:lang w:val="en-US" w:eastAsia="zh-CN"/>
        </w:rPr>
        <w:t>起，</w:t>
      </w:r>
      <w:r>
        <w:rPr>
          <w:rFonts w:hint="eastAsia" w:ascii="仿宋_GB2312" w:hAnsi="仿宋_GB2312" w:eastAsia="仿宋_GB2312" w:cs="仿宋_GB2312"/>
          <w:b w:val="0"/>
          <w:bCs w:val="0"/>
          <w:sz w:val="32"/>
          <w:szCs w:val="32"/>
          <w:lang w:val="en-US" w:eastAsia="zh-CN"/>
        </w:rPr>
        <w:t>当场处罚723起，</w:t>
      </w:r>
      <w:r>
        <w:rPr>
          <w:rFonts w:hint="default" w:ascii="仿宋_GB2312" w:hAnsi="仿宋_GB2312" w:eastAsia="仿宋_GB2312" w:cs="仿宋_GB2312"/>
          <w:b w:val="0"/>
          <w:bCs w:val="0"/>
          <w:sz w:val="32"/>
          <w:szCs w:val="32"/>
          <w:lang w:val="en-US" w:eastAsia="zh-CN"/>
        </w:rPr>
        <w:t>处罚金额</w:t>
      </w:r>
      <w:r>
        <w:rPr>
          <w:rFonts w:hint="eastAsia" w:ascii="仿宋_GB2312" w:hAnsi="仿宋_GB2312" w:eastAsia="仿宋_GB2312" w:cs="仿宋_GB2312"/>
          <w:b w:val="0"/>
          <w:bCs w:val="0"/>
          <w:sz w:val="32"/>
          <w:szCs w:val="32"/>
          <w:lang w:val="en-US" w:eastAsia="zh-CN"/>
        </w:rPr>
        <w:t>30.5801</w:t>
      </w:r>
      <w:r>
        <w:rPr>
          <w:rFonts w:hint="default" w:ascii="仿宋_GB2312" w:hAnsi="仿宋_GB2312" w:eastAsia="仿宋_GB2312" w:cs="仿宋_GB2312"/>
          <w:b w:val="0"/>
          <w:bCs w:val="0"/>
          <w:sz w:val="32"/>
          <w:szCs w:val="32"/>
          <w:lang w:val="en-US" w:eastAsia="zh-CN"/>
        </w:rPr>
        <w:t>万余元，责令限期改正</w:t>
      </w:r>
      <w:r>
        <w:rPr>
          <w:rFonts w:hint="eastAsia" w:ascii="仿宋_GB2312" w:hAnsi="仿宋_GB2312" w:eastAsia="仿宋_GB2312" w:cs="仿宋_GB2312"/>
          <w:b w:val="0"/>
          <w:bCs w:val="0"/>
          <w:sz w:val="32"/>
          <w:szCs w:val="32"/>
          <w:lang w:val="en-US" w:eastAsia="zh-CN"/>
        </w:rPr>
        <w:t>905</w:t>
      </w:r>
      <w:r>
        <w:rPr>
          <w:rFonts w:hint="default" w:ascii="仿宋_GB2312" w:hAnsi="仿宋_GB2312" w:eastAsia="仿宋_GB2312" w:cs="仿宋_GB2312"/>
          <w:b w:val="0"/>
          <w:bCs w:val="0"/>
          <w:sz w:val="32"/>
          <w:szCs w:val="32"/>
          <w:lang w:val="en-US" w:eastAsia="zh-CN"/>
        </w:rPr>
        <w:t>家，责令停产停业整顿</w:t>
      </w:r>
      <w:r>
        <w:rPr>
          <w:rFonts w:hint="eastAsia" w:ascii="仿宋_GB2312" w:hAnsi="仿宋_GB2312" w:eastAsia="仿宋_GB2312" w:cs="仿宋_GB2312"/>
          <w:b w:val="0"/>
          <w:bCs w:val="0"/>
          <w:sz w:val="32"/>
          <w:szCs w:val="32"/>
          <w:lang w:val="en-US" w:eastAsia="zh-CN"/>
        </w:rPr>
        <w:t>1</w:t>
      </w:r>
      <w:r>
        <w:rPr>
          <w:rFonts w:hint="default" w:ascii="仿宋_GB2312" w:hAnsi="仿宋_GB2312" w:eastAsia="仿宋_GB2312" w:cs="仿宋_GB2312"/>
          <w:b w:val="0"/>
          <w:bCs w:val="0"/>
          <w:sz w:val="32"/>
          <w:szCs w:val="32"/>
          <w:lang w:val="en-US" w:eastAsia="zh-CN"/>
        </w:rPr>
        <w:t>家</w:t>
      </w:r>
      <w:r>
        <w:rPr>
          <w:rFonts w:hint="eastAsia" w:ascii="仿宋_GB2312" w:hAnsi="仿宋_GB2312" w:eastAsia="仿宋_GB2312" w:cs="仿宋_GB2312"/>
          <w:b w:val="0"/>
          <w:bCs w:val="0"/>
          <w:sz w:val="32"/>
          <w:szCs w:val="32"/>
          <w:lang w:val="en-US" w:eastAsia="zh-CN"/>
        </w:rPr>
        <w:t>，吊销行政许可1家</w:t>
      </w:r>
      <w:r>
        <w:rPr>
          <w:rFonts w:hint="default" w:ascii="仿宋_GB2312" w:hAnsi="仿宋_GB2312" w:eastAsia="仿宋_GB2312" w:cs="仿宋_GB2312"/>
          <w:b w:val="0"/>
          <w:bCs w:val="0"/>
          <w:sz w:val="32"/>
          <w:szCs w:val="32"/>
          <w:lang w:val="en-US" w:eastAsia="zh-CN"/>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华文新魏" w:hAnsi="华文新魏" w:eastAsia="华文新魏" w:cs="华文新魏"/>
          <w:color w:val="000000" w:themeColor="text1"/>
          <w:kern w:val="2"/>
          <w:sz w:val="32"/>
          <w:szCs w:val="32"/>
          <w:lang w:val="en-US" w:eastAsia="zh-CN" w:bidi="ar-SA"/>
          <w14:textFill>
            <w14:solidFill>
              <w14:schemeClr w14:val="tx1"/>
            </w14:solidFill>
          </w14:textFill>
        </w:rPr>
        <w:t>3.细抓应急基础。</w:t>
      </w:r>
      <w:r>
        <w:rPr>
          <w:rFonts w:hint="eastAsia" w:ascii="Times New Roman" w:hAnsi="Times New Roman" w:eastAsia="仿宋_GB2312" w:cs="Times New Roman"/>
          <w:b/>
          <w:bCs/>
          <w:color w:val="000000" w:themeColor="text1"/>
          <w:kern w:val="2"/>
          <w:sz w:val="32"/>
          <w:szCs w:val="32"/>
          <w:lang w:val="en-US" w:eastAsia="zh-CN" w:bidi="ar-SA"/>
          <w14:textFill>
            <w14:solidFill>
              <w14:schemeClr w14:val="tx1"/>
            </w14:solidFill>
          </w14:textFill>
        </w:rPr>
        <w:t>一是抓组织领导，</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成立专门组织机构，明确专人负责，今年共组织召开应急能力建设工作调度会3次。</w:t>
      </w:r>
      <w:r>
        <w:rPr>
          <w:rFonts w:hint="eastAsia" w:ascii="Times New Roman" w:hAnsi="Times New Roman" w:eastAsia="仿宋_GB2312" w:cs="Times New Roman"/>
          <w:b/>
          <w:bCs/>
          <w:color w:val="000000" w:themeColor="text1"/>
          <w:kern w:val="2"/>
          <w:sz w:val="32"/>
          <w:szCs w:val="32"/>
          <w:lang w:val="en-US" w:eastAsia="zh-CN" w:bidi="ar-SA"/>
          <w14:textFill>
            <w14:solidFill>
              <w14:schemeClr w14:val="tx1"/>
            </w14:solidFill>
          </w14:textFill>
        </w:rPr>
        <w:t>二是抓应急保障，</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今年累计拨付资金140万，添置应急救援物资1300余件，持续推进镇街“六有”、村（社区）“三有”的达标建设；新建三洲驿街道办事处、嘉山街道办事处两处二类避难场所，同步推进其他镇街紧急类避难场所建设。</w:t>
      </w:r>
      <w:r>
        <w:rPr>
          <w:rFonts w:hint="eastAsia" w:ascii="Times New Roman" w:hAnsi="Times New Roman" w:eastAsia="仿宋_GB2312" w:cs="Times New Roman"/>
          <w:b/>
          <w:bCs/>
          <w:color w:val="000000" w:themeColor="text1"/>
          <w:kern w:val="2"/>
          <w:sz w:val="32"/>
          <w:szCs w:val="32"/>
          <w:lang w:val="en-US" w:eastAsia="zh-CN" w:bidi="ar-SA"/>
          <w14:textFill>
            <w14:solidFill>
              <w14:schemeClr w14:val="tx1"/>
            </w14:solidFill>
          </w14:textFill>
        </w:rPr>
        <w:t>三是抓应急演练，</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强化极端天气警示预警，累计向全市发送应急提示短信18000多条；修订完善5个专项应急预案；今年来，各镇街组织各类应急演练50余次，群众避险转移4次、涉及300余人。</w:t>
      </w:r>
      <w:r>
        <w:rPr>
          <w:rFonts w:hint="eastAsia" w:ascii="Times New Roman" w:hAnsi="Times New Roman" w:eastAsia="仿宋_GB2312" w:cs="Times New Roman"/>
          <w:b/>
          <w:bCs/>
          <w:color w:val="000000" w:themeColor="text1"/>
          <w:kern w:val="2"/>
          <w:sz w:val="32"/>
          <w:szCs w:val="32"/>
          <w:lang w:val="en-US" w:eastAsia="zh-CN" w:bidi="ar-SA"/>
          <w14:textFill>
            <w14:solidFill>
              <w14:schemeClr w14:val="tx1"/>
            </w14:solidFill>
          </w14:textFill>
        </w:rPr>
        <w:t>四是抓队伍体系建设，</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构建以市消防救援大队为综合力量，危险化学品应急援队、车胤救援队、襄阳街志愿者协会3支社会救援队伍为补充力量，镇街专职消防队为后备力量的应急队伍体系，形成科学高效、有序协作的应急救合力。</w:t>
      </w:r>
      <w:r>
        <w:rPr>
          <w:rFonts w:hint="eastAsia" w:ascii="Times New Roman" w:hAnsi="Times New Roman" w:eastAsia="仿宋_GB2312" w:cs="Times New Roman"/>
          <w:b/>
          <w:bCs/>
          <w:color w:val="000000" w:themeColor="text1"/>
          <w:kern w:val="2"/>
          <w:sz w:val="32"/>
          <w:szCs w:val="32"/>
          <w:lang w:val="en-US" w:eastAsia="zh-CN" w:bidi="ar-SA"/>
          <w14:textFill>
            <w14:solidFill>
              <w14:schemeClr w14:val="tx1"/>
            </w14:solidFill>
          </w14:textFill>
        </w:rPr>
        <w:t>五是抓值班值守。</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按照“1＋1＋N”的值班备勤模式，严格落实领导带班和值班人员24小时值班值守制度，根据省市抽查通报反馈，未发生一起违反值班值守工作纪律的问题。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firstLine="640" w:firstLineChars="200"/>
        <w:jc w:val="both"/>
        <w:textAlignment w:val="auto"/>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华文新魏" w:hAnsi="华文新魏" w:eastAsia="华文新魏" w:cs="华文新魏"/>
          <w:color w:val="000000" w:themeColor="text1"/>
          <w:kern w:val="2"/>
          <w:sz w:val="32"/>
          <w:szCs w:val="32"/>
          <w:lang w:val="en-US" w:eastAsia="zh-CN" w:bidi="ar-SA"/>
          <w14:textFill>
            <w14:solidFill>
              <w14:schemeClr w14:val="tx1"/>
            </w14:solidFill>
          </w14:textFill>
        </w:rPr>
        <w:t>4.筑牢防灾减灾防线。</w:t>
      </w:r>
      <w:r>
        <w:rPr>
          <w:rFonts w:hint="eastAsia" w:ascii="Times New Roman" w:hAnsi="Times New Roman" w:eastAsia="仿宋_GB2312" w:cs="Times New Roman"/>
          <w:b/>
          <w:bCs/>
          <w:color w:val="000000" w:themeColor="text1"/>
          <w:kern w:val="2"/>
          <w:sz w:val="32"/>
          <w:szCs w:val="32"/>
          <w:lang w:val="en-US" w:eastAsia="zh-CN" w:bidi="ar-SA"/>
          <w14:textFill>
            <w14:solidFill>
              <w14:schemeClr w14:val="tx1"/>
            </w14:solidFill>
          </w14:textFill>
        </w:rPr>
        <w:t>一是把握时间节点，对标对表推进自然灾害风险普查工作。</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截至目前，已完成应急系统所有数据的清查、调查工作；</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印发工作简报2期，确保涉灾部门同频共振齐发力</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w:t>
      </w:r>
      <w:r>
        <w:rPr>
          <w:rFonts w:hint="eastAsia" w:ascii="Times New Roman" w:hAnsi="Times New Roman" w:eastAsia="仿宋_GB2312" w:cs="Times New Roman"/>
          <w:b/>
          <w:bCs/>
          <w:color w:val="000000" w:themeColor="text1"/>
          <w:kern w:val="2"/>
          <w:sz w:val="32"/>
          <w:szCs w:val="32"/>
          <w:lang w:val="en-US" w:eastAsia="zh-CN" w:bidi="ar-SA"/>
          <w14:textFill>
            <w14:solidFill>
              <w14:schemeClr w14:val="tx1"/>
            </w14:solidFill>
          </w14:textFill>
        </w:rPr>
        <w:t>二是强化专项资金使用管理，确保救灾资金规范化运行。</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制定《津市市自然灾害受灾生活救助补助标准及受灾群众救助名单确定程序》，救灾资金全部实行财政“一卡通”集中打卡发放；下发救助资金200万元，涉及7个镇街56个村（社区），救助对象1964户7239人。</w:t>
      </w:r>
      <w:r>
        <w:rPr>
          <w:rFonts w:hint="eastAsia" w:ascii="Times New Roman" w:hAnsi="Times New Roman" w:eastAsia="仿宋_GB2312" w:cs="Times New Roman"/>
          <w:b/>
          <w:bCs/>
          <w:color w:val="000000" w:themeColor="text1"/>
          <w:kern w:val="2"/>
          <w:sz w:val="32"/>
          <w:szCs w:val="32"/>
          <w:lang w:val="en-US" w:eastAsia="zh-CN" w:bidi="ar-SA"/>
          <w14:textFill>
            <w14:solidFill>
              <w14:schemeClr w14:val="tx1"/>
            </w14:solidFill>
          </w14:textFill>
        </w:rPr>
        <w:t>三是狠抓防灾减灾宣传培训，切实提升群众安全意识。</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强化示范引领，全力推进天鹅村省级示范社区和白衣庵社区国家级社区的申报创建工作；</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组织召开风险普查技术培训会6次，培训各级普查专干人员85人次；广泛开展</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“5.12”“10.13”减灾日活动；强化普查宣传，微信群、朋友圈转发相关动态1200人/次，受众达13万余人次，被国普办采用津市普查新闻稿6篇，省应急厅网站2篇，其他媒体报道15次。</w:t>
      </w:r>
    </w:p>
    <w:p>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hint="default" w:ascii="仿宋_GB2312" w:hAnsi="仿宋_GB2312" w:eastAsia="仿宋_GB2312" w:cs="仿宋_GB2312"/>
          <w:b w:val="0"/>
          <w:bCs w:val="0"/>
          <w:sz w:val="32"/>
          <w:szCs w:val="32"/>
          <w:lang w:val="en-US" w:eastAsia="zh-CN"/>
        </w:rPr>
      </w:pPr>
      <w:r>
        <w:rPr>
          <w:rFonts w:hint="eastAsia" w:ascii="华文新魏" w:hAnsi="华文新魏" w:eastAsia="华文新魏" w:cs="华文新魏"/>
          <w:color w:val="000000" w:themeColor="text1"/>
          <w:kern w:val="2"/>
          <w:sz w:val="32"/>
          <w:szCs w:val="32"/>
          <w:lang w:val="en-US" w:eastAsia="zh-CN" w:bidi="ar-SA"/>
          <w14:textFill>
            <w14:solidFill>
              <w14:schemeClr w14:val="tx1"/>
            </w14:solidFill>
          </w14:textFill>
        </w:rPr>
        <w:t>5.全力履行各项职责。</w:t>
      </w:r>
      <w:r>
        <w:rPr>
          <w:rFonts w:hint="eastAsia" w:ascii="仿宋_GB2312" w:hAnsi="仿宋_GB2312" w:eastAsia="仿宋_GB2312" w:cs="仿宋_GB2312"/>
          <w:b/>
          <w:bCs/>
          <w:sz w:val="32"/>
          <w:szCs w:val="32"/>
          <w:lang w:val="en-US" w:eastAsia="zh-CN"/>
        </w:rPr>
        <w:t>疫情防控方面，</w:t>
      </w:r>
      <w:r>
        <w:rPr>
          <w:rFonts w:hint="eastAsia" w:ascii="仿宋_GB2312" w:hAnsi="仿宋_GB2312" w:eastAsia="仿宋_GB2312" w:cs="仿宋_GB2312"/>
          <w:sz w:val="32"/>
          <w:szCs w:val="32"/>
          <w:lang w:val="en-US" w:eastAsia="zh-CN"/>
        </w:rPr>
        <w:t>规范设置集中隔离点，不断完善设施设备，落实管理措施。截至到目前，已累计收入观察人员1000余人。</w:t>
      </w:r>
      <w:r>
        <w:rPr>
          <w:rFonts w:hint="eastAsia" w:ascii="仿宋_GB2312" w:hAnsi="仿宋_GB2312" w:eastAsia="仿宋_GB2312" w:cs="仿宋_GB2312"/>
          <w:b/>
          <w:bCs/>
          <w:sz w:val="32"/>
          <w:szCs w:val="32"/>
          <w:lang w:val="en-US" w:eastAsia="zh-CN"/>
        </w:rPr>
        <w:t>森林防灭火方面，</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通过落实责任、强化措施、深入宣传，全力防范森林火灾，连续3年保持森林火灾“零事故”，全市森林防灭火形势总体平稳。</w:t>
      </w:r>
      <w:r>
        <w:rPr>
          <w:rFonts w:hint="eastAsia" w:ascii="仿宋_GB2312" w:hAnsi="仿宋_GB2312" w:eastAsia="仿宋_GB2312" w:cs="仿宋_GB2312"/>
          <w:b/>
          <w:bCs/>
          <w:sz w:val="32"/>
          <w:szCs w:val="32"/>
          <w:lang w:val="en-US" w:eastAsia="zh-CN"/>
        </w:rPr>
        <w:t>法治建设方面，</w:t>
      </w:r>
      <w:r>
        <w:rPr>
          <w:rFonts w:hint="eastAsia" w:ascii="仿宋_GB2312" w:hAnsi="仿宋_GB2312" w:eastAsia="仿宋_GB2312" w:cs="仿宋_GB2312"/>
          <w:b w:val="0"/>
          <w:bCs w:val="0"/>
          <w:sz w:val="32"/>
          <w:szCs w:val="32"/>
          <w:lang w:val="en-US" w:eastAsia="zh-CN"/>
        </w:rPr>
        <w:t>广泛开展</w:t>
      </w:r>
      <w:r>
        <w:rPr>
          <w:rFonts w:hint="default" w:ascii="仿宋_GB2312" w:hAnsi="仿宋_GB2312" w:eastAsia="仿宋_GB2312" w:cs="仿宋_GB2312"/>
          <w:b w:val="0"/>
          <w:bCs w:val="0"/>
          <w:sz w:val="32"/>
          <w:szCs w:val="32"/>
          <w:lang w:val="en-US" w:eastAsia="zh-CN"/>
        </w:rPr>
        <w:t>普法</w:t>
      </w:r>
      <w:r>
        <w:rPr>
          <w:rFonts w:hint="eastAsia" w:ascii="仿宋_GB2312" w:hAnsi="仿宋_GB2312" w:eastAsia="仿宋_GB2312" w:cs="仿宋_GB2312"/>
          <w:b w:val="0"/>
          <w:bCs w:val="0"/>
          <w:sz w:val="32"/>
          <w:szCs w:val="32"/>
          <w:lang w:val="en-US" w:eastAsia="zh-CN"/>
        </w:rPr>
        <w:t>活动，第三届全国应急管理普法知识竞赛参与人次已达10万，</w:t>
      </w:r>
      <w:r>
        <w:rPr>
          <w:rFonts w:hint="default" w:ascii="仿宋_GB2312" w:hAnsi="仿宋_GB2312" w:eastAsia="仿宋_GB2312" w:cs="仿宋_GB2312"/>
          <w:b w:val="0"/>
          <w:bCs w:val="0"/>
          <w:sz w:val="32"/>
          <w:szCs w:val="32"/>
          <w:lang w:val="en-US" w:eastAsia="zh-CN"/>
        </w:rPr>
        <w:t>全国</w:t>
      </w:r>
      <w:r>
        <w:rPr>
          <w:rFonts w:hint="eastAsia" w:ascii="仿宋_GB2312" w:hAnsi="仿宋_GB2312" w:eastAsia="仿宋_GB2312" w:cs="仿宋_GB2312"/>
          <w:b w:val="0"/>
          <w:bCs w:val="0"/>
          <w:sz w:val="32"/>
          <w:szCs w:val="32"/>
          <w:lang w:val="en-US" w:eastAsia="zh-CN"/>
        </w:rPr>
        <w:t>安全知识网络竞赛（常德地区）中</w:t>
      </w:r>
      <w:r>
        <w:rPr>
          <w:rFonts w:hint="default" w:ascii="仿宋_GB2312" w:hAnsi="仿宋_GB2312" w:eastAsia="仿宋_GB2312" w:cs="仿宋_GB2312"/>
          <w:b w:val="0"/>
          <w:bCs w:val="0"/>
          <w:sz w:val="32"/>
          <w:szCs w:val="32"/>
          <w:lang w:val="en-US" w:eastAsia="zh-CN"/>
        </w:rPr>
        <w:t>取得了第</w:t>
      </w:r>
      <w:r>
        <w:rPr>
          <w:rFonts w:hint="eastAsia" w:ascii="仿宋_GB2312" w:hAnsi="仿宋_GB2312" w:eastAsia="仿宋_GB2312" w:cs="仿宋_GB2312"/>
          <w:b w:val="0"/>
          <w:bCs w:val="0"/>
          <w:sz w:val="32"/>
          <w:szCs w:val="32"/>
          <w:lang w:val="en-US" w:eastAsia="zh-CN"/>
        </w:rPr>
        <w:t>二</w:t>
      </w:r>
      <w:r>
        <w:rPr>
          <w:rFonts w:hint="default" w:ascii="仿宋_GB2312" w:hAnsi="仿宋_GB2312" w:eastAsia="仿宋_GB2312" w:cs="仿宋_GB2312"/>
          <w:b w:val="0"/>
          <w:bCs w:val="0"/>
          <w:sz w:val="32"/>
          <w:szCs w:val="32"/>
          <w:lang w:val="en-US" w:eastAsia="zh-CN"/>
        </w:rPr>
        <w:t>名的佳绩</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结合 “安全生产月”“12•4”国家宪法日等特殊时间节点，开展了一系列法治宣讲宣传</w:t>
      </w:r>
      <w:r>
        <w:rPr>
          <w:rFonts w:hint="eastAsia" w:ascii="仿宋_GB2312" w:hAnsi="仿宋_GB2312" w:eastAsia="仿宋_GB2312" w:cs="仿宋_GB2312"/>
          <w:b w:val="0"/>
          <w:bCs w:val="0"/>
          <w:sz w:val="32"/>
          <w:szCs w:val="32"/>
          <w:lang w:val="en-US" w:eastAsia="zh-CN"/>
        </w:rPr>
        <w:t>；积极组织如法网的法律知识学习</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局机关执法人员</w:t>
      </w:r>
      <w:r>
        <w:rPr>
          <w:rFonts w:hint="default" w:ascii="仿宋_GB2312" w:hAnsi="仿宋_GB2312" w:eastAsia="仿宋_GB2312" w:cs="仿宋_GB2312"/>
          <w:b w:val="0"/>
          <w:bCs w:val="0"/>
          <w:sz w:val="32"/>
          <w:szCs w:val="32"/>
          <w:lang w:val="en-US" w:eastAsia="zh-CN"/>
        </w:rPr>
        <w:t>依法行政水平</w:t>
      </w:r>
      <w:r>
        <w:rPr>
          <w:rFonts w:hint="eastAsia" w:ascii="仿宋_GB2312" w:hAnsi="仿宋_GB2312" w:eastAsia="仿宋_GB2312" w:cs="仿宋_GB2312"/>
          <w:b w:val="0"/>
          <w:bCs w:val="0"/>
          <w:sz w:val="32"/>
          <w:szCs w:val="32"/>
          <w:lang w:val="en-US" w:eastAsia="zh-CN"/>
        </w:rPr>
        <w:t>得到有效提升</w:t>
      </w:r>
      <w:r>
        <w:rPr>
          <w:rFonts w:hint="default" w:ascii="仿宋_GB2312" w:hAnsi="仿宋_GB2312" w:eastAsia="仿宋_GB2312" w:cs="仿宋_GB2312"/>
          <w:b w:val="0"/>
          <w:bCs w:val="0"/>
          <w:sz w:val="32"/>
          <w:szCs w:val="32"/>
          <w:lang w:val="en-US" w:eastAsia="zh-CN"/>
        </w:rPr>
        <w:t>。</w:t>
      </w:r>
    </w:p>
    <w:p>
      <w:pPr>
        <w:widowControl/>
        <w:spacing w:line="600" w:lineRule="exact"/>
        <w:ind w:firstLine="643" w:firstLineChars="200"/>
        <w:rPr>
          <w:rFonts w:hint="eastAsia" w:ascii="Times New Roman" w:hAnsi="Times New Roman" w:eastAsia="仿宋_GB2312" w:cs="Times New Roman"/>
          <w:b/>
          <w:color w:val="000000"/>
          <w:sz w:val="32"/>
          <w:szCs w:val="32"/>
          <w:lang w:eastAsia="zh-CN"/>
        </w:rPr>
      </w:pPr>
      <w:r>
        <w:rPr>
          <w:rFonts w:hint="eastAsia" w:ascii="Times New Roman" w:hAnsi="Times New Roman" w:eastAsia="仿宋_GB2312" w:cs="Times New Roman"/>
          <w:b/>
          <w:color w:val="000000"/>
          <w:sz w:val="32"/>
          <w:szCs w:val="32"/>
          <w:lang w:eastAsia="zh-CN"/>
        </w:rPr>
        <w:t>五、存在的问题及原因分析</w:t>
      </w:r>
    </w:p>
    <w:p>
      <w:pPr>
        <w:pStyle w:val="7"/>
        <w:widowControl/>
        <w:numPr>
          <w:numId w:val="0"/>
        </w:numPr>
        <w:spacing w:line="600" w:lineRule="exact"/>
        <w:ind w:left="640" w:leftChars="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因单位选址有变动，办公楼未完成搬迁工作。</w:t>
      </w:r>
    </w:p>
    <w:p>
      <w:pPr>
        <w:widowControl/>
        <w:numPr>
          <w:ilvl w:val="0"/>
          <w:numId w:val="2"/>
        </w:numPr>
        <w:spacing w:line="600" w:lineRule="exact"/>
        <w:ind w:firstLine="640" w:firstLineChars="200"/>
        <w:jc w:val="left"/>
        <w:rPr>
          <w:rFonts w:eastAsia="黑体"/>
          <w:sz w:val="32"/>
          <w:szCs w:val="32"/>
        </w:rPr>
      </w:pPr>
      <w:r>
        <w:rPr>
          <w:rFonts w:eastAsia="黑体"/>
          <w:sz w:val="32"/>
          <w:szCs w:val="32"/>
        </w:rPr>
        <w:t>下一步改进措施</w:t>
      </w:r>
    </w:p>
    <w:p>
      <w:pPr>
        <w:widowControl/>
        <w:numPr>
          <w:numId w:val="0"/>
        </w:numPr>
        <w:spacing w:line="600" w:lineRule="exact"/>
        <w:ind w:firstLine="960" w:firstLineChars="300"/>
        <w:jc w:val="left"/>
        <w:rPr>
          <w:rFonts w:hint="eastAsia" w:eastAsia="黑体"/>
          <w:sz w:val="32"/>
          <w:szCs w:val="32"/>
          <w:lang w:eastAsia="zh-CN"/>
        </w:rPr>
      </w:pPr>
      <w:r>
        <w:rPr>
          <w:rFonts w:hint="eastAsia" w:eastAsia="黑体"/>
          <w:sz w:val="32"/>
          <w:szCs w:val="32"/>
          <w:lang w:eastAsia="zh-CN"/>
        </w:rPr>
        <w:t>无</w:t>
      </w:r>
    </w:p>
    <w:p>
      <w:pPr>
        <w:widowControl/>
        <w:numPr>
          <w:ilvl w:val="0"/>
          <w:numId w:val="2"/>
        </w:numPr>
        <w:spacing w:line="600" w:lineRule="exact"/>
        <w:ind w:left="0" w:leftChars="0" w:firstLine="640" w:firstLineChars="200"/>
        <w:jc w:val="left"/>
        <w:rPr>
          <w:rFonts w:eastAsia="黑体"/>
          <w:sz w:val="32"/>
          <w:szCs w:val="32"/>
        </w:rPr>
      </w:pPr>
      <w:r>
        <w:rPr>
          <w:rFonts w:eastAsia="黑体"/>
          <w:sz w:val="32"/>
          <w:szCs w:val="32"/>
        </w:rPr>
        <w:t>其他需要说明的情况</w:t>
      </w:r>
    </w:p>
    <w:p>
      <w:pPr>
        <w:widowControl/>
        <w:numPr>
          <w:ilvl w:val="0"/>
          <w:numId w:val="0"/>
        </w:numPr>
        <w:spacing w:line="600" w:lineRule="exact"/>
        <w:ind w:firstLine="960" w:firstLineChars="300"/>
        <w:jc w:val="left"/>
        <w:rPr>
          <w:rFonts w:hint="eastAsia" w:eastAsia="黑体"/>
          <w:sz w:val="32"/>
          <w:szCs w:val="32"/>
          <w:lang w:eastAsia="zh-CN"/>
        </w:rPr>
      </w:pPr>
      <w:bookmarkStart w:id="0" w:name="_GoBack"/>
      <w:bookmarkEnd w:id="0"/>
      <w:r>
        <w:rPr>
          <w:rFonts w:hint="eastAsia" w:eastAsia="黑体"/>
          <w:sz w:val="32"/>
          <w:szCs w:val="32"/>
          <w:lang w:eastAsia="zh-CN"/>
        </w:rPr>
        <w:t>无</w:t>
      </w:r>
    </w:p>
    <w:p>
      <w:pPr>
        <w:widowControl/>
        <w:numPr>
          <w:numId w:val="0"/>
        </w:numPr>
        <w:spacing w:line="600" w:lineRule="exact"/>
        <w:ind w:leftChars="200"/>
        <w:jc w:val="left"/>
        <w:rPr>
          <w:rFonts w:eastAsia="黑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华文新魏">
    <w:altName w:val="宋体"/>
    <w:panose1 w:val="0201080004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6E0B78"/>
    <w:multiLevelType w:val="singleLevel"/>
    <w:tmpl w:val="E96E0B78"/>
    <w:lvl w:ilvl="0" w:tentative="0">
      <w:start w:val="6"/>
      <w:numFmt w:val="chineseCounting"/>
      <w:suff w:val="nothing"/>
      <w:lvlText w:val="%1、"/>
      <w:lvlJc w:val="left"/>
      <w:rPr>
        <w:rFonts w:hint="eastAsia"/>
      </w:rPr>
    </w:lvl>
  </w:abstractNum>
  <w:abstractNum w:abstractNumId="1">
    <w:nsid w:val="FFE6D668"/>
    <w:multiLevelType w:val="singleLevel"/>
    <w:tmpl w:val="FFE6D668"/>
    <w:lvl w:ilvl="0" w:tentative="0">
      <w:start w:val="1"/>
      <w:numFmt w:val="chineseCounting"/>
      <w:suff w:val="nothing"/>
      <w:lvlText w:val="%1、"/>
      <w:lvlJc w:val="left"/>
      <w:pPr>
        <w:ind w:left="-1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06FA2BAB"/>
    <w:rsid w:val="070752C8"/>
    <w:rsid w:val="0AFA761E"/>
    <w:rsid w:val="0F0C3DC3"/>
    <w:rsid w:val="1FDE0E64"/>
    <w:rsid w:val="202A22FB"/>
    <w:rsid w:val="2372680E"/>
    <w:rsid w:val="24810FF1"/>
    <w:rsid w:val="268A3AF4"/>
    <w:rsid w:val="27C923FA"/>
    <w:rsid w:val="289C05DD"/>
    <w:rsid w:val="2B1C1A8E"/>
    <w:rsid w:val="2D314CC9"/>
    <w:rsid w:val="2F68699C"/>
    <w:rsid w:val="306C6018"/>
    <w:rsid w:val="37381F58"/>
    <w:rsid w:val="375168B8"/>
    <w:rsid w:val="3A076E09"/>
    <w:rsid w:val="3B871F58"/>
    <w:rsid w:val="3B8F3226"/>
    <w:rsid w:val="3E974BA8"/>
    <w:rsid w:val="48D30CAA"/>
    <w:rsid w:val="48E924A4"/>
    <w:rsid w:val="4BDC6101"/>
    <w:rsid w:val="4BFA1F86"/>
    <w:rsid w:val="4C910E89"/>
    <w:rsid w:val="510065DD"/>
    <w:rsid w:val="55690BF5"/>
    <w:rsid w:val="584054D7"/>
    <w:rsid w:val="59771406"/>
    <w:rsid w:val="5A9D5D9B"/>
    <w:rsid w:val="5EF534F9"/>
    <w:rsid w:val="5F683CCB"/>
    <w:rsid w:val="632C51B5"/>
    <w:rsid w:val="68E51EE8"/>
    <w:rsid w:val="6FA10B33"/>
    <w:rsid w:val="701D35A8"/>
    <w:rsid w:val="709D12FB"/>
    <w:rsid w:val="78767001"/>
    <w:rsid w:val="798D46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spacing w:before="100" w:beforeAutospacing="1"/>
    </w:pPr>
    <w:rPr>
      <w:szCs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2307</Words>
  <Characters>2453</Characters>
  <Lines>0</Lines>
  <Paragraphs>0</Paragraphs>
  <TotalTime>1</TotalTime>
  <ScaleCrop>false</ScaleCrop>
  <LinksUpToDate>false</LinksUpToDate>
  <CharactersWithSpaces>2455</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Administrator</cp:lastModifiedBy>
  <dcterms:modified xsi:type="dcterms:W3CDTF">2022-04-15T01:31:59Z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7D43B314F7C24157BF42E5D065D8A65F</vt:lpwstr>
  </property>
</Properties>
</file>